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pPr>
      <w:r>
        <w:rPr/>
        <w:drawing>
          <wp:anchor behindDoc="1" distT="0" distB="1905" distL="114300" distR="115570" simplePos="0" locked="0" layoutInCell="1" allowOverlap="1" relativeHeight="2">
            <wp:simplePos x="0" y="0"/>
            <wp:positionH relativeFrom="margin">
              <wp:posOffset>2631440</wp:posOffset>
            </wp:positionH>
            <wp:positionV relativeFrom="paragraph">
              <wp:posOffset>-589915</wp:posOffset>
            </wp:positionV>
            <wp:extent cx="1513205" cy="662940"/>
            <wp:effectExtent l="0" t="0" r="0" b="0"/>
            <wp:wrapNone/>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1513205" cy="662940"/>
                    </a:xfrm>
                    <a:prstGeom prst="rect">
                      <a:avLst/>
                    </a:prstGeom>
                  </pic:spPr>
                </pic:pic>
              </a:graphicData>
            </a:graphic>
          </wp:anchor>
        </w:drawing>
      </w:r>
    </w:p>
    <w:p>
      <w:pPr>
        <w:pStyle w:val="Textbody"/>
        <w:rPr>
          <w:b/>
          <w:b/>
          <w:bCs/>
          <w:sz w:val="28"/>
          <w:szCs w:val="28"/>
        </w:rPr>
      </w:pPr>
      <w:r>
        <w:rPr>
          <w:b/>
          <w:bCs/>
          <w:sz w:val="28"/>
          <w:szCs w:val="28"/>
        </w:rPr>
        <w:t>Antragsteller*in:</w:t>
      </w:r>
    </w:p>
    <w:p>
      <w:pPr>
        <w:pStyle w:val="Textbody"/>
        <w:rPr/>
      </w:pPr>
      <w:r>
        <w:rPr/>
      </w:r>
    </w:p>
    <w:tbl>
      <w:tblPr>
        <w:tblW w:w="9638"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5" w:type="dxa"/>
          <w:bottom w:w="55" w:type="dxa"/>
          <w:right w:w="55" w:type="dxa"/>
        </w:tblCellMar>
        <w:tblLook w:lastRow="0" w:firstRow="1" w:lastColumn="0" w:firstColumn="1" w:val="04a0" w:noHBand="0" w:noVBand="1"/>
      </w:tblPr>
      <w:tblGrid>
        <w:gridCol w:w="9638"/>
      </w:tblGrid>
      <w:tr>
        <w:trPr>
          <w:trHeight w:val="645" w:hRule="atLeast"/>
        </w:trPr>
        <w:tc>
          <w:tcPr>
            <w:tcW w:w="96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i/>
                <w:iCs/>
              </w:rPr>
              <w:t>Students for Palestine</w:t>
            </w:r>
          </w:p>
        </w:tc>
      </w:tr>
    </w:tbl>
    <w:p>
      <w:pPr>
        <w:pStyle w:val="Textbody"/>
        <w:rPr/>
      </w:pPr>
      <w:r>
        <w:rPr/>
      </w:r>
    </w:p>
    <w:p>
      <w:pPr>
        <w:pStyle w:val="Textbody"/>
        <w:rPr>
          <w:b/>
          <w:b/>
          <w:bCs/>
          <w:sz w:val="28"/>
          <w:szCs w:val="28"/>
        </w:rPr>
      </w:pPr>
      <w:r>
        <w:rPr>
          <w:b/>
          <w:bCs/>
          <w:sz w:val="28"/>
          <w:szCs w:val="28"/>
        </w:rPr>
        <w:t>Antragsinhalt:</w:t>
      </w:r>
    </w:p>
    <w:p>
      <w:pPr>
        <w:pStyle w:val="Textbody"/>
        <w:rPr/>
      </w:pPr>
      <w:r>
        <w:rPr/>
      </w:r>
    </w:p>
    <w:tbl>
      <w:tblPr>
        <w:tblW w:w="9638" w:type="dxa"/>
        <w:jc w:val="left"/>
        <w:tblInd w:w="0" w:type="dxa"/>
        <w:tblBorders>
          <w:top w:val="single" w:sz="2" w:space="0" w:color="000000"/>
          <w:left w:val="single" w:sz="2" w:space="0" w:color="000000"/>
          <w:right w:val="single" w:sz="2" w:space="0" w:color="000000"/>
          <w:insideV w:val="single" w:sz="2" w:space="0" w:color="000000"/>
        </w:tblBorders>
        <w:tblCellMar>
          <w:top w:w="55" w:type="dxa"/>
          <w:left w:w="45" w:type="dxa"/>
          <w:bottom w:w="55" w:type="dxa"/>
          <w:right w:w="55" w:type="dxa"/>
        </w:tblCellMar>
        <w:tblLook w:noVBand="1" w:val="04a0" w:noHBand="0" w:lastColumn="0" w:firstColumn="1" w:lastRow="0" w:firstRow="1"/>
      </w:tblPr>
      <w:tblGrid>
        <w:gridCol w:w="9638"/>
      </w:tblGrid>
      <w:tr>
        <w:trPr>
          <w:trHeight w:val="315" w:hRule="atLeast"/>
        </w:trPr>
        <w:tc>
          <w:tcPr>
            <w:tcW w:w="9638" w:type="dxa"/>
            <w:tcBorders>
              <w:top w:val="single" w:sz="2" w:space="0" w:color="000000"/>
              <w:left w:val="single" w:sz="2" w:space="0" w:color="000000"/>
              <w:right w:val="single" w:sz="2" w:space="0" w:color="000000"/>
              <w:insideV w:val="single" w:sz="2" w:space="0" w:color="000000"/>
            </w:tcBorders>
            <w:shd w:fill="auto" w:val="clear"/>
          </w:tcPr>
          <w:p>
            <w:pPr>
              <w:pStyle w:val="Tabelleninhalt"/>
              <w:rPr/>
            </w:pPr>
            <w:r>
              <w:rPr/>
              <w:t>Die Vollversammlung möge beschließen,</w:t>
            </w:r>
          </w:p>
        </w:tc>
      </w:tr>
      <w:tr>
        <w:trPr>
          <w:trHeight w:val="1263" w:hRule="atLeast"/>
        </w:trPr>
        <w:tc>
          <w:tcPr>
            <w:tcW w:w="96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i/>
                <w:iCs/>
              </w:rPr>
              <w:t xml:space="preserve">Die Universität aufzufordern, </w:t>
            </w:r>
            <w:r>
              <w:rPr>
                <w:i/>
                <w:iCs/>
              </w:rPr>
              <w:t>den palästinensischen Studierenden, die aufgrund der anhaltenden humanitären Krise in den besetzten Gebieten und der mangelnden finanziellen Ressourcen nicht fristgerecht ihre Studiengebühren entrichten können, einen Zahlungsaufschub von bis zu sechs Monaten zu gewähren, ohne dass dabei Mahngebühren, Verzugszinsen oder der Verlust des Studienplatzes drohen.</w:t>
            </w:r>
          </w:p>
        </w:tc>
      </w:tr>
    </w:tbl>
    <w:p>
      <w:pPr>
        <w:pStyle w:val="Textbody"/>
        <w:rPr/>
      </w:pPr>
      <w:r>
        <w:rPr/>
      </w:r>
    </w:p>
    <w:p>
      <w:pPr>
        <w:pStyle w:val="Textbody"/>
        <w:rPr/>
      </w:pPr>
      <w:r>
        <w:rPr/>
      </w:r>
    </w:p>
    <w:p>
      <w:pPr>
        <w:pStyle w:val="Textbody"/>
        <w:rPr>
          <w:b/>
          <w:b/>
          <w:bCs/>
          <w:sz w:val="28"/>
          <w:szCs w:val="28"/>
        </w:rPr>
      </w:pPr>
      <w:r>
        <w:rPr>
          <w:b/>
          <w:bCs/>
          <w:sz w:val="28"/>
          <w:szCs w:val="28"/>
        </w:rPr>
        <w:t>Begründung:</w:t>
      </w:r>
    </w:p>
    <w:p>
      <w:pPr>
        <w:pStyle w:val="Textbody"/>
        <w:rPr/>
      </w:pPr>
      <w:r>
        <w:rPr/>
      </w:r>
    </w:p>
    <w:tbl>
      <w:tblPr>
        <w:tblW w:w="9645"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5" w:type="dxa"/>
          <w:bottom w:w="55" w:type="dxa"/>
          <w:right w:w="55" w:type="dxa"/>
        </w:tblCellMar>
        <w:tblLook w:noVBand="1" w:val="04a0" w:noHBand="0" w:lastColumn="0" w:firstColumn="1" w:lastRow="0" w:firstRow="1"/>
      </w:tblPr>
      <w:tblGrid>
        <w:gridCol w:w="9645"/>
      </w:tblGrid>
      <w:tr>
        <w:trPr>
          <w:trHeight w:val="3465" w:hRule="atLeast"/>
        </w:trPr>
        <w:tc>
          <w:tcPr>
            <w:tcW w:w="96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i/>
                <w:i/>
                <w:iCs/>
              </w:rPr>
            </w:pPr>
            <w:r>
              <w:rPr>
                <w:i/>
                <w:iCs/>
              </w:rPr>
              <w:t>Als internationale Studierende gelten palästinensische Studierende gemäß deutscher Hochschulregelungen als Selbstzahler, die vor Beginn jedes Semesters vollständige Gebührenüberweisungen nachweisen müssen.</w:t>
            </w:r>
          </w:p>
          <w:p>
            <w:pPr>
              <w:pStyle w:val="Tabelleninhalt"/>
              <w:rPr>
                <w:i/>
                <w:i/>
                <w:iCs/>
              </w:rPr>
            </w:pPr>
            <w:r>
              <w:rPr>
                <w:i/>
                <w:iCs/>
              </w:rPr>
            </w:r>
          </w:p>
          <w:p>
            <w:pPr>
              <w:pStyle w:val="Tabelleninhalt"/>
              <w:rPr>
                <w:i/>
                <w:i/>
                <w:iCs/>
              </w:rPr>
            </w:pPr>
            <w:r>
              <w:rPr>
                <w:i/>
                <w:iCs/>
              </w:rPr>
              <w:t>Ein Zahlungsaufschub leistet einen konkreten Beitrag zur Chancengleichheit im Bildungswesen und folgt dem Grundsatz, dass akademische Leistungen nicht durch politische und militärische Konflikte diskriminiert werden dürfen.</w:t>
            </w:r>
          </w:p>
          <w:p>
            <w:pPr>
              <w:pStyle w:val="Tabelleninhalt"/>
              <w:rPr>
                <w:i/>
                <w:i/>
                <w:iCs/>
              </w:rPr>
            </w:pPr>
            <w:r>
              <w:rPr>
                <w:i/>
                <w:iCs/>
              </w:rPr>
            </w:r>
          </w:p>
          <w:p>
            <w:pPr>
              <w:pStyle w:val="Tabelleninhalt"/>
              <w:rPr>
                <w:i/>
                <w:i/>
                <w:iCs/>
              </w:rPr>
            </w:pPr>
            <w:r>
              <w:rPr>
                <w:i/>
                <w:iCs/>
              </w:rPr>
              <w:t>Ein sofortiger Zahlungsaufschub für bis zu sechs Monate würde verhindern, dass Studierende ihren Visumsstatus verlieren oder ihr Studium abbrechen müssen, obwohl sie in Deutschland vor Ort studieren und aktiv am akademischen Leben teilnehmen.</w:t>
            </w:r>
          </w:p>
          <w:p>
            <w:pPr>
              <w:pStyle w:val="Tabelleninhalt"/>
              <w:rPr>
                <w:i/>
                <w:i/>
                <w:iCs/>
              </w:rPr>
            </w:pPr>
            <w:r>
              <w:rPr>
                <w:i/>
                <w:iCs/>
              </w:rPr>
            </w:r>
          </w:p>
          <w:p>
            <w:pPr>
              <w:pStyle w:val="Tabelleninhalt"/>
              <w:rPr>
                <w:i/>
                <w:i/>
                <w:iCs/>
              </w:rPr>
            </w:pPr>
            <w:r>
              <w:rPr>
                <w:i/>
                <w:iCs/>
              </w:rPr>
              <w:t>Unsere Hochschule übernimmt mit diesem Beschluss Verantwortung für die Chancengleichheit und Solidarität im internationalen Kontext. Ein unbürokratisches Entgegenkommen entspricht den europäischen und universitären Leitlinien zur Förderung von Vielfalt und Inklusion.</w:t>
            </w:r>
          </w:p>
        </w:tc>
      </w:tr>
    </w:tbl>
    <w:p>
      <w:pPr>
        <w:pStyle w:val="Textbody"/>
        <w:rPr/>
      </w:pPr>
      <w:r>
        <w:rPr/>
      </w:r>
    </w:p>
    <w:p>
      <w:pPr>
        <w:pStyle w:val="Textbody"/>
        <w:rPr>
          <w:b/>
          <w:b/>
          <w:bCs/>
          <w:sz w:val="28"/>
          <w:szCs w:val="28"/>
        </w:rPr>
      </w:pPr>
      <w:r>
        <w:rPr>
          <w:b/>
          <w:bCs/>
          <w:sz w:val="28"/>
          <w:szCs w:val="28"/>
        </w:rPr>
        <w:t>Hinweis:</w:t>
      </w:r>
    </w:p>
    <w:p>
      <w:pPr>
        <w:pStyle w:val="Textbody"/>
        <w:rPr/>
      </w:pPr>
      <w:r>
        <w:rPr/>
      </w:r>
    </w:p>
    <w:tbl>
      <w:tblPr>
        <w:tblW w:w="9638"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5" w:type="dxa"/>
          <w:bottom w:w="55" w:type="dxa"/>
          <w:right w:w="55" w:type="dxa"/>
        </w:tblCellMar>
        <w:tblLook w:noVBand="1" w:val="04a0" w:noHBand="0" w:lastColumn="0" w:firstColumn="1" w:lastRow="0" w:firstRow="1"/>
      </w:tblPr>
      <w:tblGrid>
        <w:gridCol w:w="9638"/>
      </w:tblGrid>
      <w:tr>
        <w:trPr/>
        <w:tc>
          <w:tcPr>
            <w:tcW w:w="96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extbody"/>
              <w:rPr/>
            </w:pPr>
            <w:r>
              <w:rPr/>
              <w:t>Es ist explizit erwünscht, in den Anträgen genderneutrale Sprache zu verwenden (beispielsweise</w:t>
            </w:r>
          </w:p>
          <w:p>
            <w:pPr>
              <w:pStyle w:val="Textbody"/>
              <w:spacing w:before="0" w:after="120"/>
              <w:rPr/>
            </w:pPr>
            <w:r>
              <w:rPr/>
              <w:t>„</w:t>
            </w:r>
            <w:r>
              <w:rPr/>
              <w:t>Mitarbeiter*innen“ statt „Mitarbeiter“).</w:t>
            </w:r>
          </w:p>
        </w:tc>
      </w:tr>
    </w:tbl>
    <w:p>
      <w:pPr>
        <w:pStyle w:val="Textbody"/>
        <w:spacing w:before="0" w:after="120"/>
        <w:rPr/>
      </w:pPr>
      <w:r>
        <w:rPr/>
      </w:r>
    </w:p>
    <w:sectPr>
      <w:headerReference w:type="default" r:id="rId3"/>
      <w:footerReference w:type="default" r:id="rId4"/>
      <w:type w:val="nextPage"/>
      <w:pgSz w:w="11906" w:h="16838"/>
      <w:pgMar w:left="1134" w:right="1134" w:header="720" w:top="1134" w:footer="72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pPr>
    <w:r>
      <w:rPr/>
      <w:fldChar w:fldCharType="begin"/>
    </w:r>
    <w:r>
      <w:rPr/>
      <w:instrText> PAGE </w:instrText>
    </w:r>
    <w:r>
      <w:rPr/>
      <w:fldChar w:fldCharType="separate"/>
    </w:r>
    <w:r>
      <w:rPr/>
      <w:t>1</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sz w:val="32"/>
        <w:szCs w:val="32"/>
      </w:rPr>
      <w:t>Antrag an die Vollversammlung</w:t>
      <w:tab/>
      <w:t xml:space="preserve">                              </w:t>
      <w:tab/>
      <w:t>Sitzung vom 01.07.2025</w:t>
    </w:r>
  </w:p>
  <w:p>
    <w:pPr>
      <w:pStyle w:val="HorizontaleLinie"/>
      <w:suppressLineNumbers/>
      <w:spacing w:before="0" w:after="283"/>
      <w:rPr>
        <w:sz w:val="32"/>
        <w:szCs w:val="32"/>
      </w:rPr>
    </w:pPr>
    <w:r>
      <w:rPr>
        <w:sz w:val="32"/>
        <w:szCs w:val="32"/>
      </w:rPr>
      <w:tab/>
      <w:tab/>
      <w:tab/>
      <w:tab/>
      <w:tab/>
      <w:tab/>
      <w:tab/>
      <w:tab/>
      <w:tab/>
      <w:tab/>
      <w:tab/>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Berschrift2"/>
      <w:numFmt w:val="decimal"/>
      <w:lvlText w:val=" %2)"/>
      <w:lvlJc w:val="left"/>
      <w:pPr>
        <w:ind w:left="576" w:hanging="576"/>
      </w:pPr>
    </w:lvl>
    <w:lvl w:ilvl="2">
      <w:start w:val="1"/>
      <w:pStyle w:val="Berschrift3"/>
      <w:numFmt w:val="decimal"/>
      <w:lvlText w:val=" %3."/>
      <w:lvlJc w:val="left"/>
      <w:pPr>
        <w:ind w:left="720" w:hanging="720"/>
      </w:pPr>
    </w:lvl>
    <w:lvl w:ilvl="3">
      <w:start w:val="1"/>
      <w:pStyle w:val="Berschrift4"/>
      <w:numFmt w:val="decimal"/>
      <w:lvlText w:val=" %4."/>
      <w:lvlJc w:val="left"/>
      <w:pPr>
        <w:ind w:left="864" w:hanging="864"/>
      </w:pPr>
    </w:lvl>
    <w:lvl w:ilvl="4">
      <w:start w:val="1"/>
      <w:pStyle w:val="Berschrift5"/>
      <w:numFmt w:val="decimal"/>
      <w:lvlText w:val=" %5."/>
      <w:lvlJc w:val="left"/>
      <w:pPr>
        <w:ind w:left="1008" w:hanging="1008"/>
      </w:pPr>
    </w:lvl>
    <w:lvl w:ilvl="5">
      <w:start w:val="1"/>
      <w:pStyle w:val="Berschrift6"/>
      <w:numFmt w:val="decimal"/>
      <w:lvlText w:val=" %6."/>
      <w:lvlJc w:val="left"/>
      <w:pPr>
        <w:ind w:left="1152" w:hanging="1152"/>
      </w:pPr>
    </w:lvl>
    <w:lvl w:ilvl="6">
      <w:start w:val="1"/>
      <w:pStyle w:val="Berschrift7"/>
      <w:numFmt w:val="decimal"/>
      <w:lvlText w:val=" %7."/>
      <w:lvlJc w:val="left"/>
      <w:pPr>
        <w:ind w:left="1296" w:hanging="1296"/>
      </w:pPr>
    </w:lvl>
    <w:lvl w:ilvl="7">
      <w:start w:val="1"/>
      <w:pStyle w:val="Berschrift8"/>
      <w:numFmt w:val="decimal"/>
      <w:lvlText w:val=" %8."/>
      <w:lvlJc w:val="left"/>
      <w:pPr>
        <w:ind w:left="1440" w:hanging="1440"/>
      </w:pPr>
    </w:lvl>
    <w:lvl w:ilvl="8">
      <w:start w:val="1"/>
      <w:pStyle w:val="Berschrift9"/>
      <w:numFmt w:val="decimal"/>
      <w:lvlText w:val=" %9."/>
      <w:lvlJc w:val="left"/>
      <w:pPr>
        <w:ind w:left="1584" w:hanging="1584"/>
      </w:pPr>
    </w:lvl>
  </w:abstractNum>
  <w:num w:numId="1">
    <w:abstractNumId w:val="1"/>
  </w:num>
</w:numbering>
</file>

<file path=word/settings.xml><?xml version="1.0" encoding="utf-8"?>
<w:settings xmlns:w="http://schemas.openxmlformats.org/wordprocessingml/2006/main">
  <w:zoom w:percent="100"/>
  <w:defaultTabStop w:val="709"/>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ndale Sans UI" w:cs="Lohit Hindi"/>
        <w:kern w:val="2"/>
        <w:szCs w:val="24"/>
        <w:lang w:val="de-DE" w:eastAsia="zh-CN" w:bidi="hi-IN"/>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jc w:val="left"/>
      <w:textAlignment w:val="baseline"/>
    </w:pPr>
    <w:rPr>
      <w:rFonts w:ascii="Liberation Serif" w:hAnsi="Liberation Serif" w:eastAsia="Andale Sans UI" w:cs="Lohit Hindi"/>
      <w:color w:val="auto"/>
      <w:kern w:val="2"/>
      <w:sz w:val="24"/>
      <w:szCs w:val="24"/>
      <w:lang w:val="de-DE" w:eastAsia="zh-CN" w:bidi="hi-IN"/>
    </w:rPr>
  </w:style>
  <w:style w:type="paragraph" w:styleId="Berschrift1">
    <w:name w:val="Heading 1"/>
    <w:basedOn w:val="Berschrift"/>
    <w:uiPriority w:val="9"/>
    <w:qFormat/>
    <w:pPr>
      <w:outlineLvl w:val="0"/>
    </w:pPr>
    <w:rPr>
      <w:b/>
      <w:bCs/>
    </w:rPr>
  </w:style>
  <w:style w:type="paragraph" w:styleId="Berschrift2">
    <w:name w:val="Heading 2"/>
    <w:basedOn w:val="Berschrift"/>
    <w:uiPriority w:val="9"/>
    <w:semiHidden/>
    <w:unhideWhenUsed/>
    <w:qFormat/>
    <w:pPr>
      <w:numPr>
        <w:ilvl w:val="1"/>
        <w:numId w:val="1"/>
      </w:numPr>
      <w:outlineLvl w:val="1"/>
    </w:pPr>
    <w:rPr>
      <w:b/>
      <w:bCs/>
      <w:i/>
      <w:iCs/>
    </w:rPr>
  </w:style>
  <w:style w:type="paragraph" w:styleId="Berschrift3">
    <w:name w:val="Heading 3"/>
    <w:basedOn w:val="Berschrift"/>
    <w:uiPriority w:val="9"/>
    <w:semiHidden/>
    <w:unhideWhenUsed/>
    <w:qFormat/>
    <w:pPr>
      <w:numPr>
        <w:ilvl w:val="2"/>
        <w:numId w:val="1"/>
      </w:numPr>
      <w:outlineLvl w:val="2"/>
    </w:pPr>
    <w:rPr>
      <w:b/>
      <w:bCs/>
    </w:rPr>
  </w:style>
  <w:style w:type="paragraph" w:styleId="Berschrift4">
    <w:name w:val="Heading 4"/>
    <w:basedOn w:val="Berschrift"/>
    <w:uiPriority w:val="9"/>
    <w:semiHidden/>
    <w:unhideWhenUsed/>
    <w:qFormat/>
    <w:pPr>
      <w:numPr>
        <w:ilvl w:val="3"/>
        <w:numId w:val="1"/>
      </w:numPr>
      <w:outlineLvl w:val="3"/>
    </w:pPr>
    <w:rPr>
      <w:b/>
      <w:bCs/>
      <w:i/>
      <w:iCs/>
    </w:rPr>
  </w:style>
  <w:style w:type="paragraph" w:styleId="Berschrift5">
    <w:name w:val="Heading 5"/>
    <w:basedOn w:val="Berschrift"/>
    <w:uiPriority w:val="9"/>
    <w:semiHidden/>
    <w:unhideWhenUsed/>
    <w:qFormat/>
    <w:pPr>
      <w:numPr>
        <w:ilvl w:val="4"/>
        <w:numId w:val="1"/>
      </w:numPr>
      <w:outlineLvl w:val="4"/>
    </w:pPr>
    <w:rPr>
      <w:b/>
      <w:bCs/>
    </w:rPr>
  </w:style>
  <w:style w:type="paragraph" w:styleId="Berschrift6">
    <w:name w:val="Heading 6"/>
    <w:basedOn w:val="Berschrift"/>
    <w:uiPriority w:val="9"/>
    <w:semiHidden/>
    <w:unhideWhenUsed/>
    <w:qFormat/>
    <w:pPr>
      <w:numPr>
        <w:ilvl w:val="5"/>
        <w:numId w:val="1"/>
      </w:numPr>
      <w:outlineLvl w:val="5"/>
    </w:pPr>
    <w:rPr>
      <w:b/>
      <w:bCs/>
    </w:rPr>
  </w:style>
  <w:style w:type="paragraph" w:styleId="Berschrift7">
    <w:name w:val="Heading 7"/>
    <w:basedOn w:val="Berschrift"/>
    <w:qFormat/>
    <w:pPr>
      <w:numPr>
        <w:ilvl w:val="6"/>
        <w:numId w:val="1"/>
      </w:numPr>
      <w:outlineLvl w:val="6"/>
    </w:pPr>
    <w:rPr>
      <w:b/>
      <w:bCs/>
    </w:rPr>
  </w:style>
  <w:style w:type="paragraph" w:styleId="Berschrift8">
    <w:name w:val="Heading 8"/>
    <w:basedOn w:val="Berschrift"/>
    <w:qFormat/>
    <w:pPr>
      <w:numPr>
        <w:ilvl w:val="7"/>
        <w:numId w:val="1"/>
      </w:numPr>
      <w:outlineLvl w:val="7"/>
    </w:pPr>
    <w:rPr>
      <w:b/>
      <w:bCs/>
    </w:rPr>
  </w:style>
  <w:style w:type="paragraph" w:styleId="Berschrift9">
    <w:name w:val="Heading 9"/>
    <w:basedOn w:val="Berschrift"/>
    <w:qFormat/>
    <w:pPr>
      <w:numPr>
        <w:ilvl w:val="8"/>
        <w:numId w:val="1"/>
      </w:numPr>
      <w:outlineLvl w:val="8"/>
    </w:pPr>
    <w:rPr>
      <w:b/>
      <w:bCs/>
    </w:rPr>
  </w:style>
  <w:style w:type="character" w:styleId="DefaultParagraphFont" w:default="1">
    <w:name w:val="Default Paragraph Font"/>
    <w:uiPriority w:val="1"/>
    <w:semiHidden/>
    <w:unhideWhenUsed/>
    <w:qFormat/>
    <w:rPr/>
  </w:style>
  <w:style w:type="character" w:styleId="Nummerierungszeichen" w:customStyle="1">
    <w:name w:val="Nummerierungszeichen"/>
    <w:qFormat/>
    <w:rPr/>
  </w:style>
  <w:style w:type="character" w:styleId="Aufzhlungszeichen" w:customStyle="1">
    <w:name w:val="Aufzählungszeichen"/>
    <w:qFormat/>
    <w:rPr>
      <w:rFonts w:ascii="OpenSymbol" w:hAnsi="OpenSymbol" w:eastAsia="OpenSymbol" w:cs="OpenSymbol"/>
    </w:rPr>
  </w:style>
  <w:style w:type="paragraph" w:styleId="Berschrift" w:customStyle="1">
    <w:name w:val="Überschrift"/>
    <w:basedOn w:val="Normal"/>
    <w:next w:val="Textkrper"/>
    <w:qFormat/>
    <w:pPr>
      <w:keepNext w:val="true"/>
      <w:spacing w:before="240" w:after="120"/>
    </w:pPr>
    <w:rPr>
      <w:sz w:val="28"/>
      <w:szCs w:val="28"/>
    </w:rPr>
  </w:style>
  <w:style w:type="paragraph" w:styleId="Textkrper">
    <w:name w:val="Body Text"/>
    <w:basedOn w:val="Normal"/>
    <w:pPr>
      <w:spacing w:lineRule="auto" w:line="276" w:before="0" w:after="140"/>
    </w:pPr>
    <w:rPr/>
  </w:style>
  <w:style w:type="paragraph" w:styleId="Liste">
    <w:name w:val="List"/>
    <w:basedOn w:val="Normal"/>
    <w:pPr>
      <w:widowControl w:val="false"/>
    </w:pPr>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customStyle="1">
    <w:name w:val="Verzeichnis"/>
    <w:basedOn w:val="Normal"/>
    <w:qFormat/>
    <w:pPr>
      <w:suppressLineNumbers/>
    </w:pPr>
    <w:rPr/>
  </w:style>
  <w:style w:type="paragraph" w:styleId="Caption">
    <w:name w:val="caption"/>
    <w:basedOn w:val="Normal"/>
    <w:qFormat/>
    <w:pPr>
      <w:suppressLineNumbers/>
      <w:spacing w:before="120" w:after="120"/>
    </w:pPr>
    <w:rPr>
      <w:i/>
      <w:iCs/>
    </w:rPr>
  </w:style>
  <w:style w:type="paragraph" w:styleId="Textbody" w:customStyle="1">
    <w:name w:val="Text body"/>
    <w:basedOn w:val="Normal"/>
    <w:qFormat/>
    <w:pPr>
      <w:spacing w:before="0" w:after="120"/>
    </w:pPr>
    <w:rPr/>
  </w:style>
  <w:style w:type="paragraph" w:styleId="Kopfzeile">
    <w:name w:val="Header"/>
    <w:basedOn w:val="Normal"/>
    <w:pPr>
      <w:suppressLineNumbers/>
      <w:tabs>
        <w:tab w:val="center" w:pos="4819" w:leader="none"/>
        <w:tab w:val="right" w:pos="9638" w:leader="none"/>
      </w:tabs>
    </w:pPr>
    <w:rPr/>
  </w:style>
  <w:style w:type="paragraph" w:styleId="HorizontaleLinie" w:customStyle="1">
    <w:name w:val="Horizontale Linie"/>
    <w:basedOn w:val="Normal"/>
    <w:qFormat/>
    <w:pPr>
      <w:suppressLineNumbers/>
      <w:spacing w:before="0" w:after="283"/>
    </w:pPr>
    <w:rPr>
      <w:sz w:val="12"/>
      <w:szCs w:val="12"/>
    </w:rPr>
  </w:style>
  <w:style w:type="paragraph" w:styleId="Fuzeile">
    <w:name w:val="Footer"/>
    <w:basedOn w:val="Normal"/>
    <w:pPr>
      <w:suppressLineNumbers/>
      <w:tabs>
        <w:tab w:val="center" w:pos="4819" w:leader="none"/>
        <w:tab w:val="right" w:pos="9638" w:leader="none"/>
      </w:tabs>
    </w:pPr>
    <w:rPr/>
  </w:style>
  <w:style w:type="paragraph" w:styleId="Berschrift10" w:customStyle="1">
    <w:name w:val="Überschrift 10"/>
    <w:basedOn w:val="Berschrift"/>
    <w:qFormat/>
    <w:pPr/>
    <w:rPr>
      <w:b/>
      <w:bCs/>
    </w:rPr>
  </w:style>
  <w:style w:type="paragraph" w:styleId="Tabelleninhalt" w:customStyle="1">
    <w:name w:val="Tabelleninhalt"/>
    <w:basedOn w:val="Normal"/>
    <w:qFormat/>
    <w:pPr>
      <w:suppressLineNumbers/>
    </w:pPr>
    <w:rPr/>
  </w:style>
  <w:style w:type="paragraph" w:styleId="Tabellenberschrift" w:customStyle="1">
    <w:name w:val="Tabellenüberschrift"/>
    <w:basedOn w:val="Tabelleninhalt"/>
    <w:qFormat/>
    <w:pPr>
      <w:jc w:val="center"/>
    </w:pPr>
    <w:rPr>
      <w:b/>
      <w:bCs/>
    </w:rPr>
  </w:style>
  <w:style w:type="numbering" w:styleId="NoList" w:default="1">
    <w:name w:val="No List"/>
    <w:uiPriority w:val="99"/>
    <w:semiHidden/>
    <w:unhideWhenUsed/>
    <w:qFormat/>
  </w:style>
  <w:style w:type="numbering" w:styleId="Numbering1" w:customStyle="1">
    <w:name w:val="Numbering 1"/>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LibreOffice/6.0.7.3$Linux_X86_64 LibreOffice_project/00m0$Build-3</Application>
  <Pages>1</Pages>
  <Words>190</Words>
  <Characters>1448</Characters>
  <CharactersWithSpaces>1669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2024-06-09T23:20:00Z</dcterms:created>
  <dc:creator/>
  <dc:description/>
  <dc:language>de-DE</dc:language>
  <cp:lastModifiedBy/>
  <cp:lastPrinted>2024-06-09T23:19:00Z</cp:lastPrinted>
  <dcterms:modified xsi:type="dcterms:W3CDTF">2025-06-25T16:12:41Z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